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80" w:before="0" w:line="300"/>
      </w:pPr>
      <w:r>
        <w:rPr>
          <w:rFonts w:ascii="Arial" w:cs="Arial" w:eastAsia="Arial" w:hAnsi="Arial"/>
          <w:b/>
          <w:bCs/>
          <w:i w:val="false"/>
          <w:iCs w:val="false"/>
          <w:color w:val="7A2E1D"/>
          <w:sz w:val="17"/>
          <w:szCs w:val="17"/>
          <w:lang w:val="da-DK"/>
        </w:rPr>
        <w:t xml:space="preserve">GRATIS SRP-ARBEJDSARK</w:t>
      </w:r>
    </w:p>
    <w:p>
      <w:pPr>
        <w:pBdr>
          <w:bottom w:val="single" w:color="D4A574" w:sz="8" w:space="8"/>
        </w:pBdr>
        <w:spacing w:after="180" w:line="480"/>
      </w:pPr>
      <w:r>
        <w:rPr>
          <w:rFonts w:ascii="Arial" w:cs="Arial" w:eastAsia="Arial" w:hAnsi="Arial"/>
          <w:b w:val="false"/>
          <w:bCs w:val="false"/>
          <w:i w:val="false"/>
          <w:iCs w:val="false"/>
          <w:color w:val="1A1612"/>
          <w:sz w:val="40"/>
          <w:szCs w:val="40"/>
          <w:lang w:val="da-DK"/>
        </w:rPr>
        <w:t xml:space="preserve">Fra opgaveformulering til disposition</w:t>
      </w:r>
    </w:p>
    <w:p>
      <w:pPr>
        <w:keepNext w:val="false"/>
        <w:spacing w:after="180" w:before="0" w:line="330"/>
      </w:pPr>
      <w:r>
        <w:rPr>
          <w:rFonts w:ascii="Arial" w:cs="Arial" w:eastAsia="Arial" w:hAnsi="Arial"/>
          <w:b w:val="false"/>
          <w:bCs w:val="false"/>
          <w:i w:val="false"/>
          <w:iCs w:val="false"/>
          <w:color w:val="3A342C"/>
          <w:sz w:val="23"/>
          <w:szCs w:val="23"/>
          <w:lang w:val="da-DK"/>
        </w:rPr>
        <w:t xml:space="preserve">Del den udleverede opgaveformulering op, før du deler opgaven op. Hvert afsnit skal føre et bestemt svar frem.</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Brug den udleverede opgaveformulering og skolens konkrete anvisninger inden for de gældende nationale regler.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blHeader/>
        </w:trPr>
        <w:tc>
          <w:tcPr>
            <w:tcW w:type="dxa" w:w="5103"/>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
            </w:r>
          </w:p>
        </w:tc>
        <w:tc>
          <w:tcPr>
            <w:tcW w:type="dxa" w:w="5103"/>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
            </w:r>
          </w:p>
        </w:tc>
      </w:tr>
      <w:tr>
        <w:trPr>
          <w:cantSplit/>
        </w:trPr>
        <w:tc>
          <w:tcPr>
            <w:tcW w:type="dxa" w:w="5103"/>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80" w:before="80" w:line="300"/>
            </w:pPr>
            <w:r>
              <w:rPr>
                <w:rFonts w:ascii="Arial" w:cs="Arial" w:eastAsia="Arial" w:hAnsi="Arial"/>
                <w:b/>
                <w:bCs/>
                <w:i w:val="false"/>
                <w:iCs w:val="false"/>
                <w:color w:val="7A2E1D"/>
                <w:sz w:val="17"/>
                <w:szCs w:val="17"/>
                <w:lang w:val="da-DK"/>
              </w:rPr>
              <w:t xml:space="preserve">FAG OG NIVEAUER</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c>
        <w:tc>
          <w:tcPr>
            <w:tcW w:type="dxa" w:w="5103"/>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80" w:before="80" w:line="300"/>
            </w:pPr>
            <w:r>
              <w:rPr>
                <w:rFonts w:ascii="Arial" w:cs="Arial" w:eastAsia="Arial" w:hAnsi="Arial"/>
                <w:b/>
                <w:bCs/>
                <w:i w:val="false"/>
                <w:iCs w:val="false"/>
                <w:color w:val="7A2E1D"/>
                <w:sz w:val="17"/>
                <w:szCs w:val="17"/>
                <w:lang w:val="da-DK"/>
              </w:rPr>
              <w:t xml:space="preserve">SKOLENS SÆRLIGE KRAV</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c>
      </w:tr>
    </w:tbl>
    <w:p>
      <w:pPr>
        <w:keepNext w:val="false"/>
        <w:spacing w:after="80" w:before="80" w:line="300"/>
      </w:pPr>
      <w:r>
        <w:rPr>
          <w:rFonts w:ascii="Arial" w:cs="Arial" w:eastAsia="Arial" w:hAnsi="Arial"/>
          <w:b/>
          <w:bCs/>
          <w:i w:val="false"/>
          <w:iCs w:val="false"/>
          <w:color w:val="7A2E1D"/>
          <w:sz w:val="17"/>
          <w:szCs w:val="17"/>
          <w:lang w:val="da-DK"/>
        </w:rPr>
        <w:t xml:space="preserve">INDSÆT OPGAVEFORMULERINGEN ORDRET</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Marker styrende verber som redegør, analysér, undersøg, diskutér, vurder eller perspektivér. Verbet fortæller, hvad du skal gøre, men faget afgør hvordan.</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Style w:val="Heading1"/>
        <w:keepNext/>
        <w:spacing w:after="120" w:before="260"/>
      </w:pPr>
      <w:r>
        <w:rPr>
          <w:rFonts w:ascii="Arial" w:cs="Arial" w:eastAsia="Arial" w:hAnsi="Arial"/>
          <w:b w:val="false"/>
          <w:bCs w:val="false"/>
          <w:i w:val="false"/>
          <w:iCs w:val="false"/>
          <w:color w:val="1A1612"/>
          <w:sz w:val="22"/>
          <w:szCs w:val="22"/>
          <w:lang w:val="da-DK"/>
        </w:rPr>
        <w:t xml:space="preserve">Krav til afsnit</w:t>
      </w:r>
    </w:p>
    <w:tbl>
      <w:tblPr>
        <w:tblW w:type="dxa" w:w="15000"/>
        <w:tblBorders>
          <w:top w:val="single" w:color="auto" w:sz="4"/>
          <w:left w:val="single" w:color="auto" w:sz="4"/>
          <w:bottom w:val="single" w:color="auto" w:sz="4"/>
          <w:right w:val="single" w:color="auto" w:sz="4"/>
          <w:insideH w:val="single" w:color="auto" w:sz="4"/>
          <w:insideV w:val="single" w:color="auto" w:sz="4"/>
        </w:tblBorders>
      </w:tblPr>
      <w:tblGrid>
        <w:gridCol w:w="2300"/>
        <w:gridCol w:w="2500"/>
        <w:gridCol w:w="2400"/>
        <w:gridCol w:w="2300"/>
        <w:gridCol w:w="2500"/>
        <w:gridCol w:w="3000"/>
      </w:tblGrid>
      <w:tr>
        <w:trPr>
          <w:cantSplit/>
          <w:tblHeader/>
        </w:trPr>
        <w:tc>
          <w:tcPr>
            <w:tcW w:type="dxa" w:w="23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Ord og styrende verbum</w:t>
            </w:r>
          </w:p>
        </w:tc>
        <w:tc>
          <w:tcPr>
            <w:tcW w:type="dxa" w:w="25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Foreløbigt svar</w:t>
            </w:r>
          </w:p>
        </w:tc>
        <w:tc>
          <w:tcPr>
            <w:tcW w:type="dxa" w:w="24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Materiale eller data</w:t>
            </w:r>
          </w:p>
        </w:tc>
        <w:tc>
          <w:tcPr>
            <w:tcW w:type="dxa" w:w="23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Metode eller fremgangsmåde</w:t>
            </w:r>
          </w:p>
        </w:tc>
        <w:tc>
          <w:tcPr>
            <w:tcW w:type="dxa" w:w="25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Afsnit og fag</w:t>
            </w:r>
          </w:p>
        </w:tc>
        <w:tc>
          <w:tcPr>
            <w:tcW w:type="dxa" w:w="30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Belæg, hul eller næste handling</w:t>
            </w:r>
          </w:p>
        </w:tc>
      </w:tr>
      <w:tr>
        <w:trPr>
          <w:cantSplit/>
          <w:trHeight w:val="500" w:hRule="atLeast"/>
        </w:trPr>
        <w:tc>
          <w:tcPr>
            <w:tcW w:type="dxa" w:w="23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4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3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500" w:hRule="atLeast"/>
        </w:trPr>
        <w:tc>
          <w:tcPr>
            <w:tcW w:type="dxa" w:w="23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4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3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500" w:hRule="atLeast"/>
        </w:trPr>
        <w:tc>
          <w:tcPr>
            <w:tcW w:type="dxa" w:w="23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4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3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bl>
    <w:p>
      <w:pPr>
        <w:pStyle w:val="Heading2"/>
        <w:keepNext/>
        <w:pageBreakBefore/>
        <w:spacing w:after="120" w:before="260"/>
      </w:pPr>
      <w:r>
        <w:rPr>
          <w:rFonts w:ascii="Arial" w:cs="Arial" w:eastAsia="Arial" w:hAnsi="Arial"/>
          <w:b w:val="false"/>
          <w:bCs w:val="false"/>
          <w:i w:val="false"/>
          <w:iCs w:val="false"/>
          <w:color w:val="1A1612"/>
          <w:sz w:val="22"/>
          <w:szCs w:val="22"/>
          <w:lang w:val="da-DK"/>
        </w:rPr>
        <w:t xml:space="preserve">Mini-eksempel</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Tre opgavekrav bliver til tre forskellige arbejder. Eksemplet viser mekanikken, ikke en færdig opgaveformulering.</w:t>
      </w:r>
    </w:p>
    <w:tbl>
      <w:tblPr>
        <w:tblW w:type="dxa" w:w="15138"/>
        <w:tblBorders>
          <w:top w:val="single" w:color="auto" w:sz="4"/>
          <w:left w:val="single" w:color="auto" w:sz="4"/>
          <w:bottom w:val="single" w:color="auto" w:sz="4"/>
          <w:right w:val="single" w:color="auto" w:sz="4"/>
          <w:insideH w:val="single" w:color="auto" w:sz="4"/>
          <w:insideV w:val="single" w:color="auto" w:sz="4"/>
        </w:tblBorders>
      </w:tblPr>
      <w:tblGrid>
        <w:gridCol w:w="2700"/>
        <w:gridCol w:w="2700"/>
        <w:gridCol w:w="2200"/>
        <w:gridCol w:w="2800"/>
        <w:gridCol w:w="1800"/>
        <w:gridCol w:w="2938"/>
      </w:tblGrid>
      <w:tr>
        <w:trPr>
          <w:cantSplit/>
          <w:tblHeader/>
        </w:trPr>
        <w:tc>
          <w:tcPr>
            <w:tcW w:type="dxa" w:w="27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Krav</w:t>
            </w:r>
          </w:p>
        </w:tc>
        <w:tc>
          <w:tcPr>
            <w:tcW w:type="dxa" w:w="27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Hvad skal ses?</w:t>
            </w:r>
          </w:p>
        </w:tc>
        <w:tc>
          <w:tcPr>
            <w:tcW w:type="dxa" w:w="22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Materiale</w:t>
            </w:r>
          </w:p>
        </w:tc>
        <w:tc>
          <w:tcPr>
            <w:tcW w:type="dxa" w:w="28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Fag og metode</w:t>
            </w:r>
          </w:p>
        </w:tc>
        <w:tc>
          <w:tcPr>
            <w:tcW w:type="dxa" w:w="18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Afsnit</w:t>
            </w:r>
          </w:p>
        </w:tc>
        <w:tc>
          <w:tcPr>
            <w:tcW w:type="dxa" w:w="2938"/>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Foreløbigt fund</w:t>
            </w:r>
          </w:p>
        </w:tc>
      </w:tr>
      <w:tr>
        <w:trPr>
          <w:cantSplit/>
        </w:trPr>
        <w:tc>
          <w:tcPr>
            <w:tcW w:type="dxa" w:w="2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Analysér to klimavideoers argumentation og virkemidler</w:t>
            </w:r>
          </w:p>
        </w:tc>
        <w:tc>
          <w:tcPr>
            <w:tcW w:type="dxa" w:w="2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Dokumenteret analyse af konkrete steder</w:t>
            </w:r>
          </w:p>
        </w:tc>
        <w:tc>
          <w:tcPr>
            <w:tcW w:type="dxa" w:w="22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To videoer</w:t>
            </w:r>
          </w:p>
        </w:tc>
        <w:tc>
          <w:tcPr>
            <w:tcW w:type="dxa" w:w="2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Dansk: retorisk og multimodal analyse</w:t>
            </w:r>
          </w:p>
        </w:tc>
        <w:tc>
          <w:tcPr>
            <w:tcW w:type="dxa" w:w="1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Analyse</w:t>
            </w:r>
          </w:p>
        </w:tc>
        <w:tc>
          <w:tcPr>
            <w:tcW w:type="dxa" w:w="2938"/>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Videoerne bygger troværdighed forskelligt.</w:t>
            </w:r>
          </w:p>
        </w:tc>
      </w:tr>
      <w:tr>
        <w:trPr>
          <w:cantSplit/>
        </w:trPr>
        <w:tc>
          <w:tcPr>
            <w:tcW w:type="dxa" w:w="2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Undersøg unges politiske deltagelse</w:t>
            </w:r>
          </w:p>
        </w:tc>
        <w:tc>
          <w:tcPr>
            <w:tcW w:type="dxa" w:w="2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Et mønster, der er forklaret og afgrænset</w:t>
            </w:r>
          </w:p>
        </w:tc>
        <w:tc>
          <w:tcPr>
            <w:tcW w:type="dxa" w:w="22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Udvalgte data og teori</w:t>
            </w:r>
          </w:p>
        </w:tc>
        <w:tc>
          <w:tcPr>
            <w:tcW w:type="dxa" w:w="28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Samfundsfag: kvantitativ sammenligning</w:t>
            </w:r>
          </w:p>
        </w:tc>
        <w:tc>
          <w:tcPr>
            <w:tcW w:type="dxa" w:w="18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Undersøgelse</w:t>
            </w:r>
          </w:p>
        </w:tc>
        <w:tc>
          <w:tcPr>
            <w:tcW w:type="dxa" w:w="2938"/>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Data viser et mønster, men ikke videoernes virkning.</w:t>
            </w:r>
          </w:p>
        </w:tc>
      </w:tr>
      <w:tr>
        <w:trPr>
          <w:cantSplit/>
        </w:trPr>
        <w:tc>
          <w:tcPr>
            <w:tcW w:type="dxa" w:w="2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Diskutér forholdet mellem kommunikation og deltagelse</w:t>
            </w:r>
          </w:p>
        </w:tc>
        <w:tc>
          <w:tcPr>
            <w:tcW w:type="dxa" w:w="2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En afvejet diskussion af, hvad materialerne tilsammen kan belyse</w:t>
            </w:r>
          </w:p>
        </w:tc>
        <w:tc>
          <w:tcPr>
            <w:tcW w:type="dxa" w:w="22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Resultater fra begge dele</w:t>
            </w:r>
          </w:p>
        </w:tc>
        <w:tc>
          <w:tcPr>
            <w:tcW w:type="dxa" w:w="2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Begge fag</w:t>
            </w:r>
          </w:p>
        </w:tc>
        <w:tc>
          <w:tcPr>
            <w:tcW w:type="dxa" w:w="1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Diskussion</w:t>
            </w:r>
          </w:p>
        </w:tc>
        <w:tc>
          <w:tcPr>
            <w:tcW w:type="dxa" w:w="2938"/>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Analysen viser henvendelsen, mens data sætter den i en bredere sammenhæng.</w:t>
            </w:r>
          </w:p>
        </w:tc>
      </w:tr>
    </w:tbl>
    <w:p>
      <w:pPr>
        <w:pStyle w:val="Heading1"/>
        <w:keepNext/>
        <w:pageBreakBefore/>
        <w:spacing w:after="120" w:before="260"/>
      </w:pPr>
      <w:r>
        <w:rPr>
          <w:rFonts w:ascii="Arial" w:cs="Arial" w:eastAsia="Arial" w:hAnsi="Arial"/>
          <w:b w:val="false"/>
          <w:bCs w:val="false"/>
          <w:i w:val="false"/>
          <w:iCs w:val="false"/>
          <w:color w:val="1A1612"/>
          <w:sz w:val="22"/>
          <w:szCs w:val="22"/>
          <w:lang w:val="da-DK"/>
        </w:rPr>
        <w:t xml:space="preserve">Dispositionen</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Navngiv afsnit efter det arbejde, de gør for svaret. Undgå en fast procentmodel. En naturvidenskabelig undersøgelse, en humanistisk analyse og et enkeltfagligt projekt kan have forskellige former.</w:t>
      </w:r>
    </w:p>
    <w:tbl>
      <w:tblPr>
        <w:tblW w:type="dxa" w:w="15138"/>
        <w:tblBorders>
          <w:top w:val="single" w:color="auto" w:sz="4"/>
          <w:left w:val="single" w:color="auto" w:sz="4"/>
          <w:bottom w:val="single" w:color="auto" w:sz="4"/>
          <w:right w:val="single" w:color="auto" w:sz="4"/>
          <w:insideH w:val="single" w:color="auto" w:sz="4"/>
          <w:insideV w:val="single" w:color="auto" w:sz="4"/>
        </w:tblBorders>
      </w:tblPr>
      <w:tblGrid>
        <w:gridCol w:w="1900"/>
        <w:gridCol w:w="3500"/>
        <w:gridCol w:w="3000"/>
        <w:gridCol w:w="3200"/>
        <w:gridCol w:w="3538"/>
      </w:tblGrid>
      <w:tr>
        <w:trPr>
          <w:cantSplit/>
          <w:tblHeader/>
        </w:trPr>
        <w:tc>
          <w:tcPr>
            <w:tcW w:type="dxa" w:w="19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Afsnit</w:t>
            </w:r>
          </w:p>
        </w:tc>
        <w:tc>
          <w:tcPr>
            <w:tcW w:type="dxa" w:w="35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Spørgsmål afsnittet besvarer</w:t>
            </w:r>
          </w:p>
        </w:tc>
        <w:tc>
          <w:tcPr>
            <w:tcW w:type="dxa" w:w="30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Fag og metode</w:t>
            </w:r>
          </w:p>
        </w:tc>
        <w:tc>
          <w:tcPr>
            <w:tcW w:type="dxa" w:w="32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Vigtigste materiale</w:t>
            </w:r>
          </w:p>
        </w:tc>
        <w:tc>
          <w:tcPr>
            <w:tcW w:type="dxa" w:w="3538"/>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Foreløbig pointe</w:t>
            </w:r>
          </w:p>
        </w:tc>
      </w:tr>
      <w:tr>
        <w:trPr>
          <w:cantSplit/>
          <w:trHeight w:val="540" w:hRule="atLeast"/>
        </w:trPr>
        <w:tc>
          <w:tcPr>
            <w:tcW w:type="dxa" w:w="1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Indledning</w:t>
            </w:r>
          </w:p>
        </w:tc>
        <w:tc>
          <w:tcPr>
            <w:tcW w:type="dxa" w:w="3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2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538"/>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540" w:hRule="atLeast"/>
        </w:trPr>
        <w:tc>
          <w:tcPr>
            <w:tcW w:type="dxa" w:w="19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Afsnit 1</w:t>
            </w:r>
          </w:p>
        </w:tc>
        <w:tc>
          <w:tcPr>
            <w:tcW w:type="dxa" w:w="3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2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538"/>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540" w:hRule="atLeast"/>
        </w:trPr>
        <w:tc>
          <w:tcPr>
            <w:tcW w:type="dxa" w:w="1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Afsnit 2</w:t>
            </w:r>
          </w:p>
        </w:tc>
        <w:tc>
          <w:tcPr>
            <w:tcW w:type="dxa" w:w="3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2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538"/>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540" w:hRule="atLeast"/>
        </w:trPr>
        <w:tc>
          <w:tcPr>
            <w:tcW w:type="dxa" w:w="19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Afsnit 3</w:t>
            </w:r>
          </w:p>
        </w:tc>
        <w:tc>
          <w:tcPr>
            <w:tcW w:type="dxa" w:w="3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2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538"/>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540" w:hRule="atLeast"/>
        </w:trPr>
        <w:tc>
          <w:tcPr>
            <w:tcW w:type="dxa" w:w="1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Konklusion</w:t>
            </w:r>
          </w:p>
        </w:tc>
        <w:tc>
          <w:tcPr>
            <w:tcW w:type="dxa" w:w="3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2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538"/>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bl>
    <w:p>
      <w:pPr>
        <w:pStyle w:val="Heading2"/>
        <w:keepNext/>
        <w:spacing w:after="120" w:before="260"/>
      </w:pPr>
      <w:r>
        <w:rPr>
          <w:rFonts w:ascii="Arial" w:cs="Arial" w:eastAsia="Arial" w:hAnsi="Arial"/>
          <w:b w:val="false"/>
          <w:bCs w:val="false"/>
          <w:i w:val="false"/>
          <w:iCs w:val="false"/>
          <w:color w:val="1A1612"/>
          <w:sz w:val="22"/>
          <w:szCs w:val="22"/>
          <w:lang w:val="da-DK"/>
        </w:rPr>
        <w:t xml:space="preserve">Rød tråd: læs disse tre felter i træk</w:t>
      </w:r>
    </w:p>
    <w:p>
      <w:pPr>
        <w:keepNext w:val="false"/>
        <w:spacing w:after="80" w:before="80" w:line="300"/>
      </w:pPr>
      <w:r>
        <w:rPr>
          <w:rFonts w:ascii="Arial" w:cs="Arial" w:eastAsia="Arial" w:hAnsi="Arial"/>
          <w:b/>
          <w:bCs/>
          <w:i w:val="false"/>
          <w:iCs w:val="false"/>
          <w:color w:val="7A2E1D"/>
          <w:sz w:val="17"/>
          <w:szCs w:val="17"/>
          <w:lang w:val="da-DK"/>
        </w:rPr>
        <w:t xml:space="preserve">DET CENTRALE SPØRGSMÅL</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Skriv det med dine egne ord.</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MIT FORELØBIGE SVAR</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Skriv kun det, dit materiale og din analyse kan bære.</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DET VIGTIGSTE BELÆG</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Peg på det konkrete sted, der gør svaret mere end en påstand.</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Style w:val="Heading1"/>
        <w:keepNext/>
        <w:pageBreakBefore/>
        <w:spacing w:after="120" w:before="260"/>
      </w:pPr>
      <w:r>
        <w:rPr>
          <w:rFonts w:ascii="Arial" w:cs="Arial" w:eastAsia="Arial" w:hAnsi="Arial"/>
          <w:b w:val="false"/>
          <w:bCs w:val="false"/>
          <w:i w:val="false"/>
          <w:iCs w:val="false"/>
          <w:color w:val="1A1612"/>
          <w:sz w:val="22"/>
          <w:szCs w:val="22"/>
          <w:lang w:val="da-DK"/>
        </w:rPr>
        <w:t xml:space="preserve">Afsnitskort: skriv og tjek dit eget afsnit</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Brug kortet efter en afsnitsguide og før du skriver videre. Det producerer ikke besvarelsestekst. Det tvinger dit eget afsnit til at have en opgave, et belæg, en faglig handling og et næste check.</w:t>
      </w:r>
    </w:p>
    <w:p>
      <w:pPr>
        <w:keepNext w:val="false"/>
        <w:spacing w:after="80" w:before="80" w:line="300"/>
      </w:pPr>
      <w:r>
        <w:rPr>
          <w:rFonts w:ascii="Arial" w:cs="Arial" w:eastAsia="Arial" w:hAnsi="Arial"/>
          <w:b/>
          <w:bCs/>
          <w:i w:val="false"/>
          <w:iCs w:val="false"/>
          <w:color w:val="7A2E1D"/>
          <w:sz w:val="17"/>
          <w:szCs w:val="17"/>
          <w:lang w:val="da-DK"/>
        </w:rPr>
        <w:t xml:space="preserve">HVILKET LED I OPGAVEFORMULERINGEN ARBEJDER AFSNITTET FOR?</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Kopiér det styrende verbum eller spørgsmålet, som afsnittet skal hjælpe med at besvare.</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HVILKET MATERIALE ELLER BELÆG BRUGER JEG?</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Peg på et præcist sted: passage, side, figur, tabel, beregning, måling, datasæt eller forsøgsresultat.</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HVILKEN FAGLIG HANDLING UDFØRER JEG?</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Skriv hvad du gør med materialet, fx analyserer et sprogligt mønster, sammenligner data, beregner en usikkerhed eller vurderer en kildes brugbarhed.</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HVAD ER MIN FORELØBIGE POINTE?</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Skriv én påstand, som belægget og den faglige handling faktisk kan bære.</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HVAD KAN MATERIALET ELLER METODEN IKKE AFGØRE?</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Navngiv én reel grænse, usikkerhed eller alternativ forklaring.</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CHECKPOINT OG NÆSTE TRIN</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Kan en læser se forbindelsen mellem opgavekrav, belæg, metode og pointe? Hvis ja: skriv afsnittet. Hvis nej: skriv det første manglende led som næste handling.</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Style w:val="Heading2"/>
        <w:keepNext/>
        <w:spacing w:after="120" w:before="260"/>
      </w:pPr>
      <w:r>
        <w:rPr>
          <w:rFonts w:ascii="Arial" w:cs="Arial" w:eastAsia="Arial" w:hAnsi="Arial"/>
          <w:b w:val="false"/>
          <w:bCs w:val="false"/>
          <w:i w:val="false"/>
          <w:iCs w:val="false"/>
          <w:color w:val="1A1612"/>
          <w:sz w:val="22"/>
          <w:szCs w:val="22"/>
          <w:lang w:val="da-DK"/>
        </w:rPr>
        <w:t xml:space="preserve">Tilpas kortet til afsnittets arbejde</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Resumé: Dækker kortet spørgsmål, metode, materiale, hovedresultat og konklusion uden nye oplysninger?</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Analyse eller undersøgelse: Er iagttagelsen eller beregningen dokumenteret, før du fortolker den?</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Diskussion eller vurdering: Står de to stærkeste forklaringer eller synspunkter over for hinanden på samme spørgsmål?</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Figur, tabel eller bilag: Har det nummer, titel, kilde og en forklaring af, hvad læseren skal se?</w:t>
      </w:r>
    </w:p>
    <w:p>
      <w:pPr>
        <w:pStyle w:val="Heading1"/>
        <w:keepNext/>
        <w:spacing w:after="120" w:before="260"/>
      </w:pPr>
      <w:r>
        <w:rPr>
          <w:rFonts w:ascii="Arial" w:cs="Arial" w:eastAsia="Arial" w:hAnsi="Arial"/>
          <w:b w:val="false"/>
          <w:bCs w:val="false"/>
          <w:i w:val="false"/>
          <w:iCs w:val="false"/>
          <w:color w:val="1A1612"/>
          <w:sz w:val="22"/>
          <w:szCs w:val="22"/>
          <w:lang w:val="da-DK"/>
        </w:rPr>
        <w:t xml:space="preserve">Tre opgaver, der kræver en tilpasset disposition</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Enkeltfagligt SRP: Det kræver ét fag på A-niveau og vejlederens godkendelse. Vis, hvordan du udvælger, anvender og kombinerer forskellige faglige tilgange og metoder.</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Symboltung opgave: Giv definitioner, antagelser, enheder, udledning eller beregning, resultat, fortolkning og kontrol hver sin tydelige plads.</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Eksperimentel opgave: Giv forsøgsdesign, rådata, databehandling, usikkerhed og vurdering tydelige pladser. Et uventet resultat skal forklares og vurderes, ikke skjules.</w:t>
      </w:r>
    </w:p>
    <w:p>
      <w:pPr>
        <w:keepNext w:val="false"/>
        <w:spacing w:after="80" w:before="80" w:line="300"/>
      </w:pPr>
      <w:r>
        <w:rPr>
          <w:rFonts w:ascii="Arial" w:cs="Arial" w:eastAsia="Arial" w:hAnsi="Arial"/>
          <w:b/>
          <w:bCs/>
          <w:i w:val="false"/>
          <w:iCs w:val="false"/>
          <w:color w:val="7A2E1D"/>
          <w:sz w:val="17"/>
          <w:szCs w:val="17"/>
          <w:lang w:val="da-DK"/>
        </w:rPr>
        <w:t xml:space="preserve">MIN TILPASNING</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Skriv det sted i dispositionen, hvor netop din opgavetype kræver en anden form.</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p>
      <w:pPr>
        <w:keepNext w:val="false"/>
        <w:spacing w:after="80" w:before="80" w:line="300"/>
      </w:pPr>
      <w:r>
        <w:rPr>
          <w:rFonts w:ascii="Arial" w:cs="Arial" w:eastAsia="Arial" w:hAnsi="Arial"/>
          <w:b/>
          <w:bCs/>
          <w:i w:val="false"/>
          <w:iCs w:val="false"/>
          <w:color w:val="7A2E1D"/>
          <w:sz w:val="17"/>
          <w:szCs w:val="17"/>
          <w:lang w:val="da-DK"/>
        </w:rPr>
        <w:t xml:space="preserve">KILDER, AI OG AFGRÆNSNING</w:t>
      </w:r>
    </w:p>
    <w:p>
      <w:pPr>
        <w:keepNext w:val="false"/>
        <w:spacing w:after="100" w:before="0" w:line="270"/>
      </w:pPr>
      <w:r>
        <w:rPr>
          <w:rFonts w:ascii="Arial" w:cs="Arial" w:eastAsia="Arial" w:hAnsi="Arial"/>
          <w:b/>
          <w:bCs/>
          <w:i w:val="false"/>
          <w:iCs w:val="false"/>
          <w:color w:val="3A342C"/>
          <w:sz w:val="19"/>
          <w:szCs w:val="19"/>
          <w:lang w:val="da-DK"/>
        </w:rPr>
        <w:t xml:space="preserve">Fagligt grundlag: </w:t>
      </w:r>
      <w:hyperlink w:history="1" r:id="rIdsu1v-lfo82l4dxjkennrc">
        <w:r>
          <w:rPr>
            <w:rStyle w:val="Hyperlink"/>
            <w:rFonts w:ascii="Arial" w:cs="Arial" w:eastAsia="Arial" w:hAnsi="Arial"/>
            <w:sz w:val="19"/>
            <w:szCs w:val="19"/>
            <w:lang w:val="da-DK"/>
          </w:rPr>
          <w:t xml:space="preserve">SRP-læreplanen</w:t>
        </w:r>
      </w:hyperlink>
      <w:r>
        <w:rPr>
          <w:rFonts w:ascii="Arial" w:cs="Arial" w:eastAsia="Arial" w:hAnsi="Arial"/>
          <w:b w:val="false"/>
          <w:bCs w:val="false"/>
          <w:i w:val="false"/>
          <w:iCs w:val="false"/>
          <w:color w:val="3A342C"/>
          <w:sz w:val="19"/>
          <w:szCs w:val="19"/>
          <w:lang w:val="da-DK"/>
        </w:rPr>
        <w:t xml:space="preserve">, </w:t>
      </w:r>
      <w:hyperlink w:history="1" r:id="rIdga5p_xold2nt2bnei0pzc">
        <w:r>
          <w:rPr>
            <w:rStyle w:val="Hyperlink"/>
            <w:rFonts w:ascii="Arial" w:cs="Arial" w:eastAsia="Arial" w:hAnsi="Arial"/>
            <w:sz w:val="19"/>
            <w:szCs w:val="19"/>
            <w:lang w:val="da-DK"/>
          </w:rPr>
          <w:t xml:space="preserve">UVM's vejledning</w:t>
        </w:r>
      </w:hyperlink>
      <w:r>
        <w:rPr>
          <w:rFonts w:ascii="Arial" w:cs="Arial" w:eastAsia="Arial" w:hAnsi="Arial"/>
          <w:b w:val="false"/>
          <w:bCs w:val="false"/>
          <w:i w:val="false"/>
          <w:iCs w:val="false"/>
          <w:color w:val="3A342C"/>
          <w:sz w:val="19"/>
          <w:szCs w:val="19"/>
          <w:lang w:val="da-DK"/>
        </w:rPr>
        <w:t xml:space="preserve"> og </w:t>
      </w:r>
      <w:hyperlink w:history="1" r:id="rIdv8sqgeihgqnz3cnrzb7ug">
        <w:r>
          <w:rPr>
            <w:rStyle w:val="Hyperlink"/>
            <w:rFonts w:ascii="Arial" w:cs="Arial" w:eastAsia="Arial" w:hAnsi="Arial"/>
            <w:sz w:val="19"/>
            <w:szCs w:val="19"/>
            <w:lang w:val="da-DK"/>
          </w:rPr>
          <w:t xml:space="preserve">prøvebekendtgørelsen</w:t>
        </w:r>
      </w:hyperlink>
      <w:r>
        <w:rPr>
          <w:rFonts w:ascii="Arial" w:cs="Arial" w:eastAsia="Arial" w:hAnsi="Arial"/>
          <w:b w:val="false"/>
          <w:bCs w:val="false"/>
          <w:i w:val="false"/>
          <w:iCs w:val="false"/>
          <w:color w:val="3A342C"/>
          <w:sz w:val="19"/>
          <w:szCs w:val="19"/>
          <w:lang w:val="da-DK"/>
        </w:rPr>
        <w:t xml:space="preserve">. </w:t>
      </w:r>
      <w:r>
        <w:rPr>
          <w:rFonts w:ascii="Arial" w:cs="Arial" w:eastAsia="Arial" w:hAnsi="Arial"/>
          <w:b w:val="false"/>
          <w:bCs w:val="false"/>
          <w:i w:val="false"/>
          <w:iCs w:val="false"/>
          <w:color w:val="3A342C"/>
          <w:sz w:val="19"/>
          <w:szCs w:val="19"/>
          <w:lang w:val="da-DK"/>
        </w:rPr>
        <w:t xml:space="preserve">Fagligt kontrolleret 8. september 2026.</w:t>
      </w:r>
    </w:p>
    <w:p>
      <w:pPr>
        <w:keepNext w:val="false"/>
        <w:spacing w:after="120" w:before="0" w:line="270"/>
      </w:pPr>
      <w:r>
        <w:rPr>
          <w:rFonts w:ascii="Arial" w:cs="Arial" w:eastAsia="Arial" w:hAnsi="Arial"/>
          <w:b w:val="false"/>
          <w:bCs w:val="false"/>
          <w:i/>
          <w:iCs/>
          <w:color w:val="655C52"/>
          <w:sz w:val="19"/>
          <w:szCs w:val="19"/>
          <w:lang w:val="da-DK"/>
        </w:rPr>
        <w:t xml:space="preserve">AI ved SRP: Generativ AI må ikke bruges til skriveproces, disposition eller besvarelsestekst. Snævre særregler findes, når AI er genstandsfelt, eller et indgående fag tillader en bestemt brug. AI-output som genstandsfelt skal markeres og kildehenvises. Besvarelsen skal være din egen. </w:t>
      </w:r>
      <w:hyperlink w:history="1" r:id="rIdj-k4myen0q2zemy5pmkrf">
        <w:r>
          <w:rPr>
            <w:rStyle w:val="Hyperlink"/>
            <w:rFonts w:ascii="Arial" w:cs="Arial" w:eastAsia="Arial" w:hAnsi="Arial"/>
            <w:sz w:val="19"/>
            <w:szCs w:val="19"/>
            <w:lang w:val="da-DK"/>
          </w:rPr>
          <w:t xml:space="preserve">Se hjælpemiddeloversigten</w:t>
        </w:r>
      </w:hyperlink>
      <w:r>
        <w:rPr>
          <w:rFonts w:ascii="Arial" w:cs="Arial" w:eastAsia="Arial" w:hAnsi="Arial"/>
          <w:b w:val="false"/>
          <w:bCs w:val="false"/>
          <w:i w:val="false"/>
          <w:iCs w:val="false"/>
          <w:color w:val="655C52"/>
          <w:sz w:val="19"/>
          <w:szCs w:val="19"/>
          <w:lang w:val="da-DK"/>
        </w:rPr>
        <w:t xml:space="preserve">.</w:t>
      </w:r>
    </w:p>
    <w:sectPr>
      <w:headerReference w:type="default" r:id="rId7"/>
      <w:footerReference w:type="default" r:id="rId8"/>
      <w:pgSz w:w="16838" w:h="11906" w:orient="landscape"/>
      <w:pgMar w:top="850" w:right="850" w:bottom="90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Arial" w:cs="Arial" w:eastAsia="Arial" w:hAnsi="Arial"/>
        <w:b w:val="false"/>
        <w:bCs w:val="false"/>
        <w:i w:val="false"/>
        <w:iCs w:val="false"/>
        <w:color w:val="655C52"/>
        <w:sz w:val="16"/>
        <w:szCs w:val="16"/>
        <w:lang w:val="da-DK"/>
      </w:rPr>
      <w:t xml:space="preserve">Fagligt kontrolleret 8. september 2026  |  studiekompasset.dk  |  side </w:t>
    </w:r>
    <w:r>
      <w:rPr>
        <w:rFonts w:ascii="Arial" w:cs="Arial" w:eastAsia="Arial" w:hAnsi="Arial"/>
        <w:color w:val="655C52"/>
        <w:sz w:val="16"/>
        <w:szCs w:val="16"/>
        <w:lang w:val="da-DK"/>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A574" w:sz="3" w:space="4"/>
      </w:pBdr>
      <w:spacing w:after="0"/>
    </w:pPr>
    <w:r>
      <w:rPr>
        <w:rFonts w:ascii="Arial" w:cs="Arial" w:eastAsia="Arial" w:hAnsi="Arial"/>
        <w:b/>
        <w:bCs/>
        <w:i w:val="false"/>
        <w:iCs w:val="false"/>
        <w:color w:val="7A2E1D"/>
        <w:sz w:val="15"/>
        <w:szCs w:val="15"/>
        <w:lang w:val="da-DK"/>
      </w:rPr>
      <w:t xml:space="preserve">STUDIEKOMPASSET  |  OPGAVEFORMULERING TIL DISPOSITION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20"/>
      </w:pPr>
    </w:lvl>
  </w:abstractNum>
  <w:abstractNum w:abstractNumId="3" w15:restartNumberingAfterBreak="0">
    <w:multiLevelType w:val="hybridMultilevel"/>
    <w:lvl w:ilvl="0" w15:tentative="1">
      <w:start w:val="1"/>
      <w:numFmt w:val="decimal"/>
      <w:lvlText w:val="%1."/>
      <w:lvlJc w:val="left"/>
      <w:pPr>
        <w:ind w:left="4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A342C"/>
        <w:sz w:val="22"/>
        <w:szCs w:val="22"/>
        <w:lang w:val="da-DK"/>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00"/>
      <w:outlineLvl w:val="0"/>
    </w:pPr>
    <w:rPr>
      <w:rFonts w:ascii="Arial" w:cs="Arial" w:eastAsia="Arial" w:hAnsi="Arial"/>
      <w:color w:val="1A1612"/>
      <w:sz w:val="34"/>
      <w:szCs w:val="34"/>
      <w:lang w:val="da-DK"/>
    </w:rPr>
  </w:style>
  <w:style w:type="paragraph" w:styleId="Heading2">
    <w:name w:val="Heading 2"/>
    <w:basedOn w:val="Normal"/>
    <w:next w:val="Normal"/>
    <w:qFormat/>
    <w:pPr>
      <w:spacing w:after="120" w:before="240"/>
      <w:outlineLvl w:val="1"/>
    </w:pPr>
    <w:rPr>
      <w:rFonts w:ascii="Arial" w:cs="Arial" w:eastAsia="Arial" w:hAnsi="Arial"/>
      <w:color w:val="1A1612"/>
      <w:sz w:val="28"/>
      <w:szCs w:val="28"/>
      <w:lang w:val="da-DK"/>
    </w:rPr>
  </w:style>
  <w:style w:type="paragraph" w:styleId="Heading3">
    <w:name w:val="Heading 3"/>
    <w:basedOn w:val="Normal"/>
    <w:next w:val="Normal"/>
    <w:qFormat/>
    <w:pPr>
      <w:spacing w:after="90" w:before="180"/>
      <w:outlineLvl w:val="2"/>
    </w:pPr>
    <w:rPr>
      <w:rFonts w:ascii="Arial" w:cs="Arial" w:eastAsia="Arial" w:hAnsi="Arial"/>
      <w:b/>
      <w:bCs/>
      <w:color w:val="1A1612"/>
      <w:sz w:val="24"/>
      <w:szCs w:val="24"/>
      <w:lang w:val="da-DK"/>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su1v-lfo82l4dxjkennrc" Type="http://schemas.openxmlformats.org/officeDocument/2006/relationships/hyperlink" Target="https://uvm.dk/media/lbjlv021/studieretningsprojektet-stx-august-2017-ua.pdf" TargetMode="External"/><Relationship Id="rIdga5p_xold2nt2bnei0pzc" Type="http://schemas.openxmlformats.org/officeDocument/2006/relationships/hyperlink" Target="https://uvm.dk/media/wcajzmlf/240807-studieretningsprojektet-stx.pdf" TargetMode="External"/><Relationship Id="rIdv8sqgeihgqnz3cnrzb7ug" Type="http://schemas.openxmlformats.org/officeDocument/2006/relationships/hyperlink" Target="https://www.retsinformation.dk/eli/lta/2026/3" TargetMode="External"/><Relationship Id="rIdj-k4myen0q2zemy5pmkrf" Type="http://schemas.openxmlformats.org/officeDocument/2006/relationships/hyperlink" Target="https://uvm.dk/media/odslzaxr/260407-25_31776-4-hjaelpemiddeloversigt-til-de-gymnasiale-proever-2026-april-2002218_1_1.pdf"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SRP: fra opgaveformulering til disposition</dc:title>
  <dc:subject>Gratis arbejdsark til studieretningsprojektet på stx</dc:subject>
  <dc:creator>Studiekompasset</dc:creator>
  <cp:keywords>SRP, stx, arbejdsark, Studiekompasset</cp:keywords>
  <dc:description>Brug den udleverede opgaveformulering og skolens konkrete anvisninger inden for de gældende nationale regler. AI ved SRP: Generativ AI må ikke bruges til skriveproces, disposition eller besvarelsestekst. Snævre særregler findes, når AI er genstandsfelt, eller et indgående fag tillader en bestemt brug. AI-output som genstandsfelt skal markeres og kildehenvises. Besvarelsen skal være din egen.</dc:description>
  <cp:lastModifiedBy>Studiekompasset</cp:lastModifiedBy>
  <cp:revision>1</cp:revision>
  <dcterms:created xsi:type="dcterms:W3CDTF">2026-09-08T16:18:43.065Z</dcterms:created>
  <dcterms:modified xsi:type="dcterms:W3CDTF">2026-09-08T16:18:43.065Z</dcterms:modified>
</cp:coreProperties>
</file>

<file path=docProps/custom.xml><?xml version="1.0" encoding="utf-8"?>
<Properties xmlns="http://schemas.openxmlformats.org/officeDocument/2006/custom-properties" xmlns:vt="http://schemas.openxmlformats.org/officeDocument/2006/docPropsVTypes"/>
</file>